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8C" w:rsidRPr="0028788C" w:rsidRDefault="0028788C" w:rsidP="002878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788C" w:rsidRPr="0028788C" w:rsidRDefault="0028788C" w:rsidP="002878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788C" w:rsidRPr="0028788C" w:rsidRDefault="008829CF" w:rsidP="0028788C">
      <w:pPr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6E88">
        <w:rPr>
          <w:rFonts w:ascii="Times New Roman" w:eastAsiaTheme="minorHAnsi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3.25pt;margin-top:10.1pt;width:38.05pt;height:36.45pt;z-index:251657728">
            <v:imagedata r:id="rId5" o:title=""/>
          </v:shape>
          <o:OLEObject Type="Embed" ProgID="WangImage.Document" ShapeID="_x0000_s1135" DrawAspect="Content" ObjectID="_1577533634" r:id="rId6"/>
        </w:pict>
      </w:r>
      <w:r w:rsidR="000C6E88" w:rsidRPr="000C6E88">
        <w:rPr>
          <w:rFonts w:ascii="Times New Roman" w:eastAsiaTheme="minorHAnsi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7" type="#_x0000_t32" style="position:absolute;left:0;text-align:left;margin-left:12pt;margin-top:59.35pt;width:505.3pt;height:0;z-index:251656704" o:connectortype="straight"/>
        </w:pict>
      </w:r>
      <w:r w:rsidR="000C6E88" w:rsidRPr="000C6E88">
        <w:rPr>
          <w:rFonts w:ascii="Times New Roman" w:eastAsiaTheme="minorHAnsi" w:hAnsi="Times New Roman" w:cs="Times New Roman"/>
          <w:b/>
          <w:noProof/>
        </w:rPr>
        <w:pict>
          <v:shape id="_x0000_s1136" type="#_x0000_t32" style="position:absolute;left:0;text-align:left;margin-left:12pt;margin-top:-3.65pt;width:505.3pt;height:.75pt;z-index:251658752" o:connectortype="straight"/>
        </w:pict>
      </w:r>
      <w:r w:rsidR="0028788C" w:rsidRPr="002878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Государственное бюджетное профессиональное образовательное учреждение </w:t>
      </w:r>
    </w:p>
    <w:p w:rsidR="0028788C" w:rsidRPr="0028788C" w:rsidRDefault="0028788C" w:rsidP="0028788C">
      <w:pPr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78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«ЧЕЛЯБИНСКИЙ МЕДИЦИНСКИЙ КОЛЕДЖ»</w:t>
      </w:r>
    </w:p>
    <w:tbl>
      <w:tblPr>
        <w:tblStyle w:val="a6"/>
        <w:tblW w:w="0" w:type="auto"/>
        <w:tblInd w:w="284" w:type="dxa"/>
        <w:tblLook w:val="04A0"/>
      </w:tblPr>
      <w:tblGrid>
        <w:gridCol w:w="3002"/>
        <w:gridCol w:w="3244"/>
        <w:gridCol w:w="3041"/>
      </w:tblGrid>
      <w:tr w:rsidR="0028788C" w:rsidRPr="0028788C" w:rsidTr="00323793">
        <w:trPr>
          <w:trHeight w:val="1445"/>
        </w:trPr>
        <w:tc>
          <w:tcPr>
            <w:tcW w:w="3521" w:type="dxa"/>
          </w:tcPr>
          <w:p w:rsidR="0028788C" w:rsidRPr="0028788C" w:rsidRDefault="0028788C" w:rsidP="0028788C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8C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28788C" w:rsidRPr="0028788C" w:rsidRDefault="0028788C" w:rsidP="0028788C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788C">
              <w:rPr>
                <w:rFonts w:ascii="Times New Roman" w:hAnsi="Times New Roman" w:cs="Times New Roman"/>
                <w:sz w:val="20"/>
                <w:szCs w:val="20"/>
              </w:rPr>
              <w:t>на заседании цикловой комиссии «Фармация»</w:t>
            </w:r>
          </w:p>
          <w:p w:rsidR="0028788C" w:rsidRPr="0028788C" w:rsidRDefault="0028788C" w:rsidP="0028788C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88C" w:rsidRPr="0028788C" w:rsidRDefault="0028788C" w:rsidP="0028788C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8C">
              <w:rPr>
                <w:rFonts w:ascii="Times New Roman" w:hAnsi="Times New Roman" w:cs="Times New Roman"/>
                <w:sz w:val="20"/>
                <w:szCs w:val="20"/>
              </w:rPr>
              <w:t>Председатель ЦМК  Л.И.Романова ……..</w:t>
            </w:r>
          </w:p>
          <w:p w:rsidR="0028788C" w:rsidRPr="0028788C" w:rsidRDefault="0028788C" w:rsidP="0028788C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8C">
              <w:rPr>
                <w:rFonts w:ascii="Times New Roman" w:hAnsi="Times New Roman" w:cs="Times New Roman"/>
                <w:sz w:val="20"/>
                <w:szCs w:val="20"/>
              </w:rPr>
              <w:t>Протокол № 1   от01.09.2017</w:t>
            </w:r>
          </w:p>
        </w:tc>
        <w:tc>
          <w:tcPr>
            <w:tcW w:w="3521" w:type="dxa"/>
          </w:tcPr>
          <w:p w:rsidR="0028788C" w:rsidRPr="0028788C" w:rsidRDefault="0028788C" w:rsidP="0028788C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788C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28788C" w:rsidRPr="0028788C" w:rsidRDefault="0028788C" w:rsidP="0028788C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8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«Фармация»</w:t>
            </w:r>
          </w:p>
          <w:p w:rsidR="0028788C" w:rsidRPr="0028788C" w:rsidRDefault="0028788C" w:rsidP="0028788C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8C">
              <w:rPr>
                <w:rFonts w:ascii="Times New Roman" w:hAnsi="Times New Roman" w:cs="Times New Roman"/>
                <w:b/>
                <w:sz w:val="20"/>
                <w:szCs w:val="20"/>
              </w:rPr>
              <w:t>33.02.01                                         Экзамен ОПД 10 «Аналитическая химия»</w:t>
            </w:r>
          </w:p>
          <w:p w:rsidR="0028788C" w:rsidRPr="0028788C" w:rsidRDefault="0028788C" w:rsidP="0028788C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28788C" w:rsidRPr="0028788C" w:rsidRDefault="0028788C" w:rsidP="0028788C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8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28788C" w:rsidRPr="0028788C" w:rsidRDefault="0028788C" w:rsidP="0028788C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788C"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учебно-воспитательной работе О.А.Замятина …………….</w:t>
            </w:r>
          </w:p>
          <w:p w:rsidR="0028788C" w:rsidRPr="0028788C" w:rsidRDefault="0028788C" w:rsidP="0028788C">
            <w:p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8C" w:rsidRPr="0028788C" w:rsidRDefault="0028788C" w:rsidP="0028788C">
            <w:pPr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8C">
              <w:rPr>
                <w:rFonts w:ascii="Times New Roman" w:hAnsi="Times New Roman" w:cs="Times New Roman"/>
                <w:sz w:val="20"/>
                <w:szCs w:val="20"/>
              </w:rPr>
              <w:t>Дата               14.09.2017 г</w:t>
            </w:r>
          </w:p>
        </w:tc>
      </w:tr>
    </w:tbl>
    <w:p w:rsidR="0028788C" w:rsidRPr="002E6105" w:rsidRDefault="0028788C" w:rsidP="0028788C">
      <w:pPr>
        <w:spacing w:beforeAutospacing="1" w:after="100" w:afterAutospacing="1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8788C" w:rsidRPr="002E6105" w:rsidRDefault="0028788C" w:rsidP="00037605">
      <w:pPr>
        <w:spacing w:before="100" w:beforeAutospacing="1" w:after="100" w:afterAutospacing="1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61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Вопросы к экзамену</w:t>
      </w:r>
      <w:r w:rsidR="002E6105" w:rsidRPr="002E61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E6105" w:rsidRPr="002E6105">
        <w:rPr>
          <w:rFonts w:ascii="Times New Roman" w:hAnsi="Times New Roman" w:cs="Times New Roman"/>
          <w:b/>
          <w:sz w:val="28"/>
          <w:szCs w:val="28"/>
        </w:rPr>
        <w:t>ОПД 10 «Аналитическая химия»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Понятие о растворах. Способы выражения концентрации растворов. </w:t>
      </w:r>
      <w:proofErr w:type="gramStart"/>
      <w:r w:rsidRPr="0028788C">
        <w:rPr>
          <w:rFonts w:ascii="Times New Roman" w:hAnsi="Times New Roman" w:cs="Times New Roman"/>
          <w:sz w:val="24"/>
          <w:szCs w:val="24"/>
        </w:rPr>
        <w:t>Приготовление разбавленных растворов из более концентрированных («правило креста»)</w:t>
      </w:r>
      <w:proofErr w:type="gramEnd"/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Краткая характеристика методов качественного анализа. Требования к аналитическим реакциям.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Теория электролитической диссоциации. Механизм диссоциации кислот, солей, оснований. Константа диссоциации слабых электролитов.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Кислотно-основные индикаторы. Хромофорная теория.</w:t>
      </w:r>
    </w:p>
    <w:p w:rsidR="0028788C" w:rsidRPr="00037605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605">
        <w:rPr>
          <w:rFonts w:ascii="Times New Roman" w:hAnsi="Times New Roman" w:cs="Times New Roman"/>
          <w:sz w:val="24"/>
          <w:szCs w:val="24"/>
        </w:rPr>
        <w:t>Комплексные соединения. Строение комплексных ионов. Номенклатура. Диссоциация комплексных электролитов (2 примера)</w:t>
      </w:r>
    </w:p>
    <w:p w:rsidR="0028788C" w:rsidRPr="00037605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7605">
        <w:rPr>
          <w:rFonts w:ascii="Times New Roman" w:hAnsi="Times New Roman" w:cs="Times New Roman"/>
          <w:sz w:val="24"/>
          <w:szCs w:val="24"/>
        </w:rPr>
        <w:t>Фотоэлектрокалориметрический</w:t>
      </w:r>
      <w:proofErr w:type="spellEnd"/>
      <w:r w:rsidRPr="00037605">
        <w:rPr>
          <w:rFonts w:ascii="Times New Roman" w:hAnsi="Times New Roman" w:cs="Times New Roman"/>
          <w:sz w:val="24"/>
          <w:szCs w:val="24"/>
        </w:rPr>
        <w:t xml:space="preserve"> метод. Принцип работы ФЭК.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Диссоциация воды. Характеристика кислотности. Водородный показатель. В растворе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28788C">
        <w:rPr>
          <w:rFonts w:ascii="Times New Roman" w:hAnsi="Times New Roman" w:cs="Times New Roman"/>
          <w:sz w:val="24"/>
          <w:szCs w:val="24"/>
        </w:rPr>
        <w:t>=8. Чему равны концентрации [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8788C">
        <w:rPr>
          <w:rFonts w:ascii="Times New Roman" w:hAnsi="Times New Roman" w:cs="Times New Roman"/>
          <w:sz w:val="24"/>
          <w:szCs w:val="24"/>
        </w:rPr>
        <w:t>] и [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8788C">
        <w:rPr>
          <w:rFonts w:ascii="Times New Roman" w:hAnsi="Times New Roman" w:cs="Times New Roman"/>
          <w:sz w:val="24"/>
          <w:szCs w:val="24"/>
        </w:rPr>
        <w:t>]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Фотометрические методы анализа. Характеристика, классификация.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Гидролиз солей (4 типа). Степень гидролиза.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Нитрометрия. Количественное определение белого стрептоцида. Уравнение метода, индикация, формулы расчёта.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Классификация ОВР. Применение их в аналитической химии.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Нитрометрия. Приготовление рабочего раствора. Установка титра.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Основные положения качественного анализа. Требования к аналитическим реакциям. Систематический и дробный метод анализа.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Определение железа методом стандартного ряда.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Характеристика 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 катионов. Реакции катиона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Рефрактометрический метод анализа. Устройство рефрактометра и правила работы с рефрактометром.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Кислотно-основная классификация  катионов по аналитическим группам. Реакции катиона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Калориметрические методы. Метод уравнивания окраски. Метод разбавления.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Характеристика  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 катионов. Частные реакции катиона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8788C">
        <w:rPr>
          <w:rFonts w:ascii="Times New Roman" w:hAnsi="Times New Roman" w:cs="Times New Roman"/>
          <w:sz w:val="24"/>
          <w:szCs w:val="24"/>
          <w:vertAlign w:val="subscript"/>
        </w:rPr>
        <w:t xml:space="preserve"> 4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lastRenderedPageBreak/>
        <w:t>Физико-химические методы анализа, сущность. Калориметрия. Метод стандартного ряда.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Характеристика  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 катионов. Частные реакции катиона </w:t>
      </w:r>
      <w:proofErr w:type="spellStart"/>
      <w:r w:rsidRPr="0028788C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788C">
        <w:rPr>
          <w:rFonts w:ascii="Times New Roman" w:hAnsi="Times New Roman" w:cs="Times New Roman"/>
          <w:sz w:val="24"/>
          <w:szCs w:val="24"/>
        </w:rPr>
        <w:t>Бромометрия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>. Определение стрептоцида.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Характеристика  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 катионов. Частные реакции катиона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Нитрометрия. Фиксирование точки эквивалентности с помощью внешних  и внутренних индикаторов.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Характеристика  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 катионов. Частные реакции катиона Н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878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788C">
        <w:rPr>
          <w:rFonts w:ascii="Times New Roman" w:hAnsi="Times New Roman" w:cs="Times New Roman"/>
          <w:sz w:val="24"/>
          <w:szCs w:val="24"/>
        </w:rPr>
        <w:t>Йодометрия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>. Приготовление титрованного раствора тиосульфата натрия. Стандартизация рабочего раствора.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Характеристика  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 катионов. Частные реакции катиона </w:t>
      </w:r>
      <w:proofErr w:type="spellStart"/>
      <w:r w:rsidRPr="0028788C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8788C">
        <w:rPr>
          <w:rFonts w:ascii="Times New Roman" w:hAnsi="Times New Roman" w:cs="Times New Roman"/>
          <w:sz w:val="24"/>
          <w:szCs w:val="24"/>
        </w:rPr>
        <w:t xml:space="preserve">  и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788C">
        <w:rPr>
          <w:rFonts w:ascii="Times New Roman" w:hAnsi="Times New Roman" w:cs="Times New Roman"/>
          <w:sz w:val="24"/>
          <w:szCs w:val="24"/>
        </w:rPr>
        <w:t>Йодометрия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>. Определение окислителей.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Характеристика  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 катионов. Частные реакции катиона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3+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28788C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 xml:space="preserve"> водорода в растворе.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Характеристика  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 катионов. Частные реакции катиона 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8788C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28788C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788C">
        <w:rPr>
          <w:rFonts w:ascii="Times New Roman" w:hAnsi="Times New Roman" w:cs="Times New Roman"/>
          <w:sz w:val="24"/>
          <w:szCs w:val="24"/>
        </w:rPr>
        <w:t>Перманганатометрия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>. Определение железа в соли Мора.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Характеристика  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 катионов. Частные реакции катиона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28788C">
        <w:rPr>
          <w:rFonts w:ascii="Times New Roman" w:hAnsi="Times New Roman" w:cs="Times New Roman"/>
          <w:sz w:val="24"/>
          <w:szCs w:val="24"/>
        </w:rPr>
        <w:t xml:space="preserve">  и 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Определение содержания перманганата калия в растворе, ход определения. Расчеты.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Характеристика  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 катионов. Частные реакции катиона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88C">
        <w:rPr>
          <w:rFonts w:ascii="Times New Roman" w:hAnsi="Times New Roman" w:cs="Times New Roman"/>
          <w:sz w:val="24"/>
          <w:szCs w:val="24"/>
        </w:rPr>
        <w:t>Перманганатометрия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>. Приготовление рабочего раствора, раствора стандарта. Установка титра рабочего раствора.</w:t>
      </w:r>
      <w:r w:rsidRPr="00287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Характеристика  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 катионов. Частные реакции катиона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Общая характеристика методов оксидиметрии (классификация, требования к реакциям, индикаторы, практическое применение)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Особенности анализа анионов. Классификация анионов по группам. Частные реакции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878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788C">
        <w:rPr>
          <w:rFonts w:ascii="Times New Roman" w:hAnsi="Times New Roman" w:cs="Times New Roman"/>
          <w:sz w:val="24"/>
          <w:szCs w:val="24"/>
        </w:rPr>
        <w:t>Комплексонометрический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 xml:space="preserve"> метод. Обоснование. Условия титрования. Индикаторы.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Анионы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группы. Реакции сульфи</w:t>
      </w:r>
      <w:proofErr w:type="gramStart"/>
      <w:r w:rsidRPr="0028788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8788C">
        <w:rPr>
          <w:rFonts w:ascii="Times New Roman" w:hAnsi="Times New Roman" w:cs="Times New Roman"/>
          <w:sz w:val="24"/>
          <w:szCs w:val="24"/>
        </w:rPr>
        <w:t xml:space="preserve"> иона и карбонат- иона.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788C">
        <w:rPr>
          <w:rFonts w:ascii="Times New Roman" w:hAnsi="Times New Roman" w:cs="Times New Roman"/>
          <w:sz w:val="24"/>
          <w:szCs w:val="24"/>
        </w:rPr>
        <w:t>Меркурометрия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 xml:space="preserve">. Определение хлоридов с </w:t>
      </w:r>
      <w:proofErr w:type="spellStart"/>
      <w:r w:rsidRPr="0028788C">
        <w:rPr>
          <w:rFonts w:ascii="Times New Roman" w:hAnsi="Times New Roman" w:cs="Times New Roman"/>
          <w:sz w:val="24"/>
          <w:szCs w:val="24"/>
        </w:rPr>
        <w:t>дифенилкарбазоном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>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Анионы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группы. Реакции фосфа</w:t>
      </w:r>
      <w:proofErr w:type="gramStart"/>
      <w:r w:rsidRPr="0028788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8788C">
        <w:rPr>
          <w:rFonts w:ascii="Times New Roman" w:hAnsi="Times New Roman" w:cs="Times New Roman"/>
          <w:sz w:val="24"/>
          <w:szCs w:val="24"/>
        </w:rPr>
        <w:t xml:space="preserve"> иона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2878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 xml:space="preserve">3- </w:t>
      </w:r>
      <w:r w:rsidRPr="0028788C">
        <w:rPr>
          <w:rFonts w:ascii="Times New Roman" w:hAnsi="Times New Roman" w:cs="Times New Roman"/>
          <w:sz w:val="24"/>
          <w:szCs w:val="24"/>
        </w:rPr>
        <w:t xml:space="preserve"> и оксалат- иона.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Титрование с применением адсорбционных индикаторов. Определение хлоридов и иодидов.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Анионы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группы. Реакции тиосульфа</w:t>
      </w:r>
      <w:proofErr w:type="gramStart"/>
      <w:r w:rsidRPr="0028788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8788C">
        <w:rPr>
          <w:rFonts w:ascii="Times New Roman" w:hAnsi="Times New Roman" w:cs="Times New Roman"/>
          <w:sz w:val="24"/>
          <w:szCs w:val="24"/>
        </w:rPr>
        <w:t xml:space="preserve"> иона.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28788C">
        <w:rPr>
          <w:rFonts w:ascii="Times New Roman" w:hAnsi="Times New Roman" w:cs="Times New Roman"/>
          <w:sz w:val="24"/>
          <w:szCs w:val="24"/>
        </w:rPr>
        <w:t>Фольгарда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 xml:space="preserve">. Определение хлоридов по методу </w:t>
      </w:r>
      <w:proofErr w:type="spellStart"/>
      <w:r w:rsidRPr="0028788C">
        <w:rPr>
          <w:rFonts w:ascii="Times New Roman" w:hAnsi="Times New Roman" w:cs="Times New Roman"/>
          <w:sz w:val="24"/>
          <w:szCs w:val="24"/>
        </w:rPr>
        <w:t>Фольгарда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>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Анионы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группы. Реакции бора</w:t>
      </w:r>
      <w:proofErr w:type="gramStart"/>
      <w:r w:rsidRPr="0028788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878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788C">
        <w:rPr>
          <w:rFonts w:ascii="Times New Roman" w:hAnsi="Times New Roman" w:cs="Times New Roman"/>
          <w:sz w:val="24"/>
          <w:szCs w:val="24"/>
        </w:rPr>
        <w:t>тетраборат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>- ионов.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Сущность методов осаждения и </w:t>
      </w:r>
      <w:proofErr w:type="spellStart"/>
      <w:r w:rsidRPr="0028788C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>. Метод Мора.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Анионы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группы. Реакции </w:t>
      </w:r>
      <w:proofErr w:type="spellStart"/>
      <w:r w:rsidRPr="0028788C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 xml:space="preserve"> 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 xml:space="preserve">-   </w:t>
      </w:r>
      <w:r w:rsidRPr="0028788C">
        <w:rPr>
          <w:rFonts w:ascii="Times New Roman" w:hAnsi="Times New Roman" w:cs="Times New Roman"/>
          <w:sz w:val="24"/>
          <w:szCs w:val="24"/>
        </w:rPr>
        <w:t>и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28788C">
        <w:rPr>
          <w:rFonts w:ascii="Times New Roman" w:hAnsi="Times New Roman" w:cs="Times New Roman"/>
          <w:sz w:val="24"/>
          <w:szCs w:val="24"/>
        </w:rPr>
        <w:t xml:space="preserve"> 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 xml:space="preserve">– </w:t>
      </w:r>
      <w:r w:rsidRPr="0028788C">
        <w:rPr>
          <w:rFonts w:ascii="Times New Roman" w:hAnsi="Times New Roman" w:cs="Times New Roman"/>
          <w:sz w:val="24"/>
          <w:szCs w:val="24"/>
        </w:rPr>
        <w:t>ионов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Примеры количественного определения кислотно-основным методом.</w:t>
      </w:r>
      <w:r w:rsidRPr="0028788C">
        <w:rPr>
          <w:rFonts w:ascii="Times New Roman" w:hAnsi="Times New Roman" w:cs="Times New Roman"/>
          <w:sz w:val="28"/>
          <w:szCs w:val="28"/>
        </w:rPr>
        <w:t xml:space="preserve"> </w:t>
      </w:r>
      <w:r w:rsidRPr="0028788C">
        <w:rPr>
          <w:rFonts w:ascii="Times New Roman" w:hAnsi="Times New Roman" w:cs="Times New Roman"/>
          <w:sz w:val="24"/>
          <w:szCs w:val="28"/>
        </w:rPr>
        <w:t xml:space="preserve">Приготовление рабочего раствора 0,1М </w:t>
      </w:r>
      <w:proofErr w:type="spellStart"/>
      <w:r w:rsidRPr="0028788C">
        <w:rPr>
          <w:rFonts w:ascii="Times New Roman" w:hAnsi="Times New Roman" w:cs="Times New Roman"/>
          <w:sz w:val="24"/>
          <w:szCs w:val="28"/>
          <w:lang w:val="en-US"/>
        </w:rPr>
        <w:t>NaOH</w:t>
      </w:r>
      <w:proofErr w:type="spellEnd"/>
      <w:r w:rsidRPr="0028788C">
        <w:rPr>
          <w:rFonts w:ascii="Times New Roman" w:hAnsi="Times New Roman" w:cs="Times New Roman"/>
          <w:sz w:val="24"/>
          <w:szCs w:val="28"/>
        </w:rPr>
        <w:t>, установка титра. Расчет М и</w:t>
      </w:r>
      <w:proofErr w:type="gramStart"/>
      <w:r w:rsidRPr="0028788C">
        <w:rPr>
          <w:rFonts w:ascii="Times New Roman" w:hAnsi="Times New Roman" w:cs="Times New Roman"/>
          <w:sz w:val="24"/>
          <w:szCs w:val="28"/>
        </w:rPr>
        <w:t xml:space="preserve"> Т</w:t>
      </w:r>
      <w:proofErr w:type="gramEnd"/>
      <w:r w:rsidRPr="0028788C">
        <w:rPr>
          <w:rFonts w:ascii="Times New Roman" w:hAnsi="Times New Roman" w:cs="Times New Roman"/>
          <w:sz w:val="24"/>
          <w:szCs w:val="28"/>
        </w:rPr>
        <w:t xml:space="preserve"> по результатам титрования.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Анионы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группы. Реакции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28788C">
        <w:rPr>
          <w:rFonts w:ascii="Times New Roman" w:hAnsi="Times New Roman" w:cs="Times New Roman"/>
          <w:sz w:val="24"/>
          <w:szCs w:val="24"/>
        </w:rPr>
        <w:t xml:space="preserve">  и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SCN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lastRenderedPageBreak/>
        <w:t>Кислотно-основный метод. Сущность метода. Индикаторы. Теория Освальда.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Анионы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788C">
        <w:rPr>
          <w:rFonts w:ascii="Times New Roman" w:hAnsi="Times New Roman" w:cs="Times New Roman"/>
          <w:sz w:val="24"/>
          <w:szCs w:val="24"/>
        </w:rPr>
        <w:t xml:space="preserve"> аналитической группы. Реакции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878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8788C">
        <w:rPr>
          <w:rFonts w:ascii="Times New Roman" w:hAnsi="Times New Roman" w:cs="Times New Roman"/>
          <w:sz w:val="24"/>
          <w:szCs w:val="24"/>
        </w:rPr>
        <w:t xml:space="preserve">  и 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878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8788C">
        <w:rPr>
          <w:rFonts w:ascii="Times New Roman" w:hAnsi="Times New Roman" w:cs="Times New Roman"/>
          <w:sz w:val="24"/>
          <w:szCs w:val="24"/>
          <w:lang w:val="en-US"/>
        </w:rPr>
        <w:t>COO</w:t>
      </w:r>
      <w:r w:rsidRPr="0028788C">
        <w:rPr>
          <w:rFonts w:ascii="Times New Roman" w:hAnsi="Times New Roman" w:cs="Times New Roman"/>
          <w:sz w:val="24"/>
          <w:szCs w:val="24"/>
        </w:rPr>
        <w:t xml:space="preserve"> </w:t>
      </w:r>
      <w:r w:rsidRPr="0028788C">
        <w:rPr>
          <w:rFonts w:ascii="Times New Roman" w:hAnsi="Times New Roman" w:cs="Times New Roman"/>
          <w:sz w:val="24"/>
          <w:szCs w:val="24"/>
          <w:vertAlign w:val="superscript"/>
        </w:rPr>
        <w:t>–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Мерная посуда. Назначение, виды, устройство и правила работы с пипетками.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Задачи и методы количественного анализа.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spellStart"/>
      <w:r w:rsidRPr="0028788C">
        <w:rPr>
          <w:rFonts w:ascii="Times New Roman" w:hAnsi="Times New Roman" w:cs="Times New Roman"/>
          <w:sz w:val="24"/>
          <w:szCs w:val="24"/>
        </w:rPr>
        <w:t>титриметрического</w:t>
      </w:r>
      <w:proofErr w:type="spellEnd"/>
      <w:r w:rsidRPr="0028788C">
        <w:rPr>
          <w:rFonts w:ascii="Times New Roman" w:hAnsi="Times New Roman" w:cs="Times New Roman"/>
          <w:sz w:val="24"/>
          <w:szCs w:val="24"/>
        </w:rPr>
        <w:t xml:space="preserve"> анализа. Методы и способы титрования.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Аналитические весы. Устройство и правила работы на аналитических весах.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Мерная посуда. Назначение, виды, устройство и правила работы с мерными колбами.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Мерная посуда. Назначение, виды, устройство бюреток, правила работы.</w:t>
      </w:r>
    </w:p>
    <w:p w:rsidR="0028788C" w:rsidRPr="0028788C" w:rsidRDefault="0028788C" w:rsidP="0028788C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88C">
        <w:rPr>
          <w:rFonts w:ascii="Times New Roman" w:hAnsi="Times New Roman" w:cs="Times New Roman"/>
          <w:sz w:val="24"/>
          <w:szCs w:val="24"/>
        </w:rPr>
        <w:t>Приготовление рабочих растворов. Установочные (исходные) вещества. Требования к исходным веществам.</w:t>
      </w:r>
    </w:p>
    <w:p w:rsidR="00152E18" w:rsidRDefault="00152E18"/>
    <w:sectPr w:rsidR="00152E18" w:rsidSect="0015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796"/>
    <w:multiLevelType w:val="hybridMultilevel"/>
    <w:tmpl w:val="6E2C2778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354C"/>
    <w:multiLevelType w:val="hybridMultilevel"/>
    <w:tmpl w:val="D046C6E4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21211"/>
    <w:multiLevelType w:val="hybridMultilevel"/>
    <w:tmpl w:val="B798BF18"/>
    <w:lvl w:ilvl="0" w:tplc="296687EC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7F5F"/>
    <w:multiLevelType w:val="hybridMultilevel"/>
    <w:tmpl w:val="87A8C556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4787E"/>
    <w:multiLevelType w:val="hybridMultilevel"/>
    <w:tmpl w:val="B3901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74D01"/>
    <w:multiLevelType w:val="hybridMultilevel"/>
    <w:tmpl w:val="A982920C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BB45B1"/>
    <w:multiLevelType w:val="hybridMultilevel"/>
    <w:tmpl w:val="B45C99E2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C31404"/>
    <w:multiLevelType w:val="hybridMultilevel"/>
    <w:tmpl w:val="24727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52A01"/>
    <w:multiLevelType w:val="hybridMultilevel"/>
    <w:tmpl w:val="5BE4B414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475AC3"/>
    <w:multiLevelType w:val="hybridMultilevel"/>
    <w:tmpl w:val="1C96FDEE"/>
    <w:lvl w:ilvl="0" w:tplc="F934FD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7B16F9"/>
    <w:multiLevelType w:val="hybridMultilevel"/>
    <w:tmpl w:val="15BC27F2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C19DC"/>
    <w:multiLevelType w:val="hybridMultilevel"/>
    <w:tmpl w:val="48FEC7CA"/>
    <w:lvl w:ilvl="0" w:tplc="134CA8B8">
      <w:start w:val="2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B0D09"/>
    <w:multiLevelType w:val="hybridMultilevel"/>
    <w:tmpl w:val="55D8C168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14512F"/>
    <w:multiLevelType w:val="hybridMultilevel"/>
    <w:tmpl w:val="7B86248E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6057EE"/>
    <w:multiLevelType w:val="hybridMultilevel"/>
    <w:tmpl w:val="04708032"/>
    <w:lvl w:ilvl="0" w:tplc="A51CD73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650A2"/>
    <w:multiLevelType w:val="hybridMultilevel"/>
    <w:tmpl w:val="55D8C168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EA2367"/>
    <w:multiLevelType w:val="hybridMultilevel"/>
    <w:tmpl w:val="A66C27C4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052F93"/>
    <w:multiLevelType w:val="hybridMultilevel"/>
    <w:tmpl w:val="5BE4B414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F116B"/>
    <w:multiLevelType w:val="hybridMultilevel"/>
    <w:tmpl w:val="75883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753052"/>
    <w:multiLevelType w:val="hybridMultilevel"/>
    <w:tmpl w:val="0EC60AF6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BD6983"/>
    <w:multiLevelType w:val="hybridMultilevel"/>
    <w:tmpl w:val="31501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E0416A"/>
    <w:multiLevelType w:val="hybridMultilevel"/>
    <w:tmpl w:val="5E7AE730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064A0E"/>
    <w:multiLevelType w:val="hybridMultilevel"/>
    <w:tmpl w:val="7B1AF2AC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A440D6"/>
    <w:multiLevelType w:val="hybridMultilevel"/>
    <w:tmpl w:val="A982920C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40108"/>
    <w:multiLevelType w:val="hybridMultilevel"/>
    <w:tmpl w:val="5FF6BD32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4F6D23"/>
    <w:multiLevelType w:val="hybridMultilevel"/>
    <w:tmpl w:val="6E2C2778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1D5559"/>
    <w:multiLevelType w:val="hybridMultilevel"/>
    <w:tmpl w:val="6778ECA6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F24C6E"/>
    <w:multiLevelType w:val="hybridMultilevel"/>
    <w:tmpl w:val="9496D432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A5233C"/>
    <w:multiLevelType w:val="hybridMultilevel"/>
    <w:tmpl w:val="419EBB68"/>
    <w:lvl w:ilvl="0" w:tplc="31B8DD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0711A"/>
    <w:multiLevelType w:val="hybridMultilevel"/>
    <w:tmpl w:val="6778ECA6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3230E6"/>
    <w:multiLevelType w:val="hybridMultilevel"/>
    <w:tmpl w:val="15BC27F2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697D69"/>
    <w:multiLevelType w:val="hybridMultilevel"/>
    <w:tmpl w:val="6778ECA6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623F7C"/>
    <w:multiLevelType w:val="hybridMultilevel"/>
    <w:tmpl w:val="7B38AF56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676BC5"/>
    <w:multiLevelType w:val="hybridMultilevel"/>
    <w:tmpl w:val="5FF6BD32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394277"/>
    <w:multiLevelType w:val="hybridMultilevel"/>
    <w:tmpl w:val="1D245824"/>
    <w:lvl w:ilvl="0" w:tplc="B324190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416E7"/>
    <w:multiLevelType w:val="hybridMultilevel"/>
    <w:tmpl w:val="B45C99E2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CF05C2"/>
    <w:multiLevelType w:val="hybridMultilevel"/>
    <w:tmpl w:val="01F8FB2E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144BB3"/>
    <w:multiLevelType w:val="hybridMultilevel"/>
    <w:tmpl w:val="C8C0ED1A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8138C8"/>
    <w:multiLevelType w:val="hybridMultilevel"/>
    <w:tmpl w:val="C8C0ED1A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460297"/>
    <w:multiLevelType w:val="hybridMultilevel"/>
    <w:tmpl w:val="0EC60AF6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255D8C"/>
    <w:multiLevelType w:val="hybridMultilevel"/>
    <w:tmpl w:val="02D27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1A7014"/>
    <w:multiLevelType w:val="hybridMultilevel"/>
    <w:tmpl w:val="01F8FB2E"/>
    <w:lvl w:ilvl="0" w:tplc="0419000F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CD411A"/>
    <w:multiLevelType w:val="hybridMultilevel"/>
    <w:tmpl w:val="80E42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42"/>
  </w:num>
  <w:num w:numId="4">
    <w:abstractNumId w:val="7"/>
  </w:num>
  <w:num w:numId="5">
    <w:abstractNumId w:val="18"/>
  </w:num>
  <w:num w:numId="6">
    <w:abstractNumId w:val="40"/>
  </w:num>
  <w:num w:numId="7">
    <w:abstractNumId w:val="32"/>
  </w:num>
  <w:num w:numId="8">
    <w:abstractNumId w:val="14"/>
  </w:num>
  <w:num w:numId="9">
    <w:abstractNumId w:val="34"/>
  </w:num>
  <w:num w:numId="10">
    <w:abstractNumId w:val="11"/>
  </w:num>
  <w:num w:numId="11">
    <w:abstractNumId w:val="2"/>
  </w:num>
  <w:num w:numId="12">
    <w:abstractNumId w:val="27"/>
  </w:num>
  <w:num w:numId="13">
    <w:abstractNumId w:val="13"/>
  </w:num>
  <w:num w:numId="14">
    <w:abstractNumId w:val="21"/>
  </w:num>
  <w:num w:numId="15">
    <w:abstractNumId w:val="16"/>
  </w:num>
  <w:num w:numId="16">
    <w:abstractNumId w:val="22"/>
  </w:num>
  <w:num w:numId="17">
    <w:abstractNumId w:val="35"/>
  </w:num>
  <w:num w:numId="18">
    <w:abstractNumId w:val="6"/>
  </w:num>
  <w:num w:numId="19">
    <w:abstractNumId w:val="1"/>
  </w:num>
  <w:num w:numId="20">
    <w:abstractNumId w:val="9"/>
  </w:num>
  <w:num w:numId="21">
    <w:abstractNumId w:val="3"/>
  </w:num>
  <w:num w:numId="22">
    <w:abstractNumId w:val="15"/>
  </w:num>
  <w:num w:numId="23">
    <w:abstractNumId w:val="12"/>
  </w:num>
  <w:num w:numId="24">
    <w:abstractNumId w:val="37"/>
  </w:num>
  <w:num w:numId="25">
    <w:abstractNumId w:val="38"/>
  </w:num>
  <w:num w:numId="26">
    <w:abstractNumId w:val="19"/>
  </w:num>
  <w:num w:numId="27">
    <w:abstractNumId w:val="39"/>
  </w:num>
  <w:num w:numId="28">
    <w:abstractNumId w:val="10"/>
  </w:num>
  <w:num w:numId="29">
    <w:abstractNumId w:val="30"/>
  </w:num>
  <w:num w:numId="30">
    <w:abstractNumId w:val="33"/>
  </w:num>
  <w:num w:numId="31">
    <w:abstractNumId w:val="24"/>
  </w:num>
  <w:num w:numId="32">
    <w:abstractNumId w:val="25"/>
  </w:num>
  <w:num w:numId="33">
    <w:abstractNumId w:val="0"/>
  </w:num>
  <w:num w:numId="34">
    <w:abstractNumId w:val="5"/>
  </w:num>
  <w:num w:numId="35">
    <w:abstractNumId w:val="23"/>
  </w:num>
  <w:num w:numId="36">
    <w:abstractNumId w:val="8"/>
  </w:num>
  <w:num w:numId="37">
    <w:abstractNumId w:val="17"/>
  </w:num>
  <w:num w:numId="38">
    <w:abstractNumId w:val="41"/>
  </w:num>
  <w:num w:numId="39">
    <w:abstractNumId w:val="36"/>
  </w:num>
  <w:num w:numId="40">
    <w:abstractNumId w:val="29"/>
  </w:num>
  <w:num w:numId="41">
    <w:abstractNumId w:val="31"/>
  </w:num>
  <w:num w:numId="42">
    <w:abstractNumId w:val="26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788C"/>
    <w:rsid w:val="00037605"/>
    <w:rsid w:val="000C6E88"/>
    <w:rsid w:val="00152E18"/>
    <w:rsid w:val="0028788C"/>
    <w:rsid w:val="002E6105"/>
    <w:rsid w:val="008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3" type="connector" idref="#_x0000_s1136"/>
        <o:r id="V:Rule4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788C"/>
  </w:style>
  <w:style w:type="paragraph" w:styleId="a3">
    <w:name w:val="List Paragraph"/>
    <w:basedOn w:val="a"/>
    <w:uiPriority w:val="34"/>
    <w:qFormat/>
    <w:rsid w:val="0028788C"/>
    <w:pPr>
      <w:spacing w:before="100" w:beforeAutospacing="1" w:after="100" w:afterAutospacing="1"/>
      <w:ind w:left="720" w:hanging="17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rsid w:val="0028788C"/>
    <w:pPr>
      <w:spacing w:after="0" w:line="240" w:lineRule="auto"/>
    </w:pPr>
    <w:rPr>
      <w:rFonts w:ascii="Times New Roman" w:eastAsia="PMingLiU" w:hAnsi="Times New Roman" w:cs="Times New Roman"/>
      <w:sz w:val="32"/>
      <w:szCs w:val="24"/>
      <w:lang w:eastAsia="zh-TW"/>
    </w:rPr>
  </w:style>
  <w:style w:type="character" w:customStyle="1" w:styleId="a5">
    <w:name w:val="Основной текст Знак"/>
    <w:basedOn w:val="a0"/>
    <w:link w:val="a4"/>
    <w:semiHidden/>
    <w:rsid w:val="0028788C"/>
    <w:rPr>
      <w:rFonts w:ascii="Times New Roman" w:eastAsia="PMingLiU" w:hAnsi="Times New Roman" w:cs="Times New Roman"/>
      <w:sz w:val="32"/>
      <w:szCs w:val="24"/>
      <w:lang w:eastAsia="zh-TW"/>
    </w:rPr>
  </w:style>
  <w:style w:type="table" w:styleId="a6">
    <w:name w:val="Table Grid"/>
    <w:basedOn w:val="a1"/>
    <w:uiPriority w:val="59"/>
    <w:rsid w:val="0028788C"/>
    <w:pPr>
      <w:spacing w:beforeAutospacing="1" w:after="0" w:afterAutospacing="1" w:line="240" w:lineRule="auto"/>
      <w:ind w:left="890" w:hanging="17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2018-01-15T08:19:00Z</dcterms:created>
  <dcterms:modified xsi:type="dcterms:W3CDTF">2018-01-15T10:01:00Z</dcterms:modified>
</cp:coreProperties>
</file>